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7C0467" w:rsidTr="00193680">
        <w:trPr>
          <w:trHeight w:val="1866"/>
        </w:trPr>
        <w:tc>
          <w:tcPr>
            <w:tcW w:w="10314" w:type="dxa"/>
          </w:tcPr>
          <w:p w:rsidR="00402478" w:rsidRPr="007C0467" w:rsidRDefault="00402478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7C0467" w:rsidRDefault="00402478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7C0467" w:rsidRDefault="00402478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7C0467" w:rsidRDefault="009403D5" w:rsidP="007C046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7C0467">
              <w:rPr>
                <w:rFonts w:ascii="Times New Roman" w:hAnsi="Times New Roman" w:cs="Times New Roman"/>
              </w:rPr>
              <w:t xml:space="preserve"> | </w:t>
            </w:r>
            <w:hyperlink r:id="rId10" w:history="1"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info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402478" w:rsidRPr="007C0467">
              <w:rPr>
                <w:rFonts w:ascii="Times New Roman" w:hAnsi="Times New Roman" w:cs="Times New Roman"/>
              </w:rPr>
              <w:t xml:space="preserve"> | +7 913 612 64 74</w:t>
            </w:r>
          </w:p>
        </w:tc>
      </w:tr>
    </w:tbl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>УТВЕРЖДАЮ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7C0467">
        <w:rPr>
          <w:rFonts w:ascii="Times New Roman" w:hAnsi="Times New Roman" w:cs="Times New Roman"/>
        </w:rPr>
        <w:t xml:space="preserve">Глава </w:t>
      </w:r>
      <w:r w:rsidRPr="007C0467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7C0467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7C0467">
        <w:rPr>
          <w:rFonts w:ascii="Times New Roman" w:hAnsi="Times New Roman" w:cs="Times New Roman"/>
        </w:rPr>
        <w:t xml:space="preserve">___________________ </w:t>
      </w:r>
      <w:r w:rsidRPr="007C0467">
        <w:rPr>
          <w:rFonts w:ascii="Times New Roman" w:hAnsi="Times New Roman" w:cs="Times New Roman"/>
          <w:color w:val="000000"/>
        </w:rPr>
        <w:t>М.В. Бедель</w:t>
      </w:r>
    </w:p>
    <w:p w:rsidR="00402478" w:rsidRPr="007C0467" w:rsidRDefault="00402478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               МП</w:t>
      </w:r>
    </w:p>
    <w:p w:rsidR="00402478" w:rsidRPr="007C0467" w:rsidRDefault="00402478" w:rsidP="007C0467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7C0467" w:rsidRDefault="00F316E2" w:rsidP="007C046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«07</w:t>
      </w:r>
      <w:r w:rsidR="00402478" w:rsidRPr="007C0467">
        <w:rPr>
          <w:rFonts w:ascii="Times New Roman" w:hAnsi="Times New Roman" w:cs="Times New Roman"/>
        </w:rPr>
        <w:t xml:space="preserve">» марта 2025 года           </w:t>
      </w:r>
    </w:p>
    <w:p w:rsidR="00402478" w:rsidRPr="007C0467" w:rsidRDefault="00402478" w:rsidP="007C0467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7C0467">
        <w:rPr>
          <w:color w:val="auto"/>
          <w:sz w:val="22"/>
          <w:szCs w:val="22"/>
        </w:rPr>
        <w:t>Извещение</w:t>
      </w: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  <w:r w:rsidRPr="007C0467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7C0467">
        <w:rPr>
          <w:sz w:val="22"/>
          <w:szCs w:val="22"/>
        </w:rPr>
        <w:t xml:space="preserve">на право заключения </w:t>
      </w: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  <w:r w:rsidRPr="007C0467">
        <w:rPr>
          <w:sz w:val="22"/>
          <w:szCs w:val="22"/>
        </w:rPr>
        <w:t>договоров аренды земельных участков</w:t>
      </w: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7C0467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7C0467">
        <w:rPr>
          <w:b/>
          <w:sz w:val="22"/>
          <w:szCs w:val="22"/>
        </w:rPr>
        <w:t>(физические лица))</w:t>
      </w:r>
    </w:p>
    <w:p w:rsidR="00402478" w:rsidRPr="007C0467" w:rsidRDefault="00402478" w:rsidP="007C0467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7C0467" w:rsidRDefault="00402478" w:rsidP="007C0467">
      <w:pPr>
        <w:pStyle w:val="Default"/>
        <w:contextualSpacing/>
        <w:jc w:val="center"/>
        <w:rPr>
          <w:sz w:val="22"/>
          <w:szCs w:val="22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7C0467" w:rsidRDefault="00402478" w:rsidP="007C046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>2025 год</w:t>
      </w:r>
    </w:p>
    <w:p w:rsidR="00402478" w:rsidRPr="007C0467" w:rsidRDefault="00402478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7C0467" w:rsidRDefault="00402478" w:rsidP="007C0467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7C0467">
        <w:rPr>
          <w:rFonts w:ascii="Times New Roman" w:hAnsi="Times New Roman" w:cs="Times New Roman"/>
          <w:b/>
        </w:rPr>
        <w:t xml:space="preserve">договоров аренды </w:t>
      </w:r>
      <w:r w:rsidRPr="007C0467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7C0467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7C0467" w:rsidRDefault="00402478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7C0467" w:rsidRDefault="00402478" w:rsidP="007C04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7C0467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7C0467">
        <w:rPr>
          <w:rFonts w:ascii="Times New Roman" w:hAnsi="Times New Roman" w:cs="Times New Roman"/>
        </w:rPr>
        <w:t xml:space="preserve"> (далее – официальный сайт)</w:t>
      </w:r>
      <w:r w:rsidRPr="007C0467">
        <w:rPr>
          <w:rStyle w:val="af3"/>
          <w:rFonts w:ascii="Times New Roman" w:hAnsi="Times New Roman" w:cs="Times New Roman"/>
        </w:rPr>
        <w:footnoteReference w:id="2"/>
      </w:r>
      <w:r w:rsidRPr="007C0467">
        <w:rPr>
          <w:rFonts w:ascii="Times New Roman" w:hAnsi="Times New Roman" w:cs="Times New Roman"/>
        </w:rPr>
        <w:t>;</w:t>
      </w:r>
    </w:p>
    <w:p w:rsidR="00402478" w:rsidRPr="007C0467" w:rsidRDefault="00402478" w:rsidP="007C04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7C0467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7C0467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7C0467" w:rsidRDefault="00402478" w:rsidP="007C04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F46EFD" w:rsidRPr="007C0467" w:rsidRDefault="00F46EFD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7C0467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7C0467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7C0467">
          <w:rPr>
            <w:rStyle w:val="a5"/>
            <w:rFonts w:ascii="Times New Roman" w:hAnsi="Times New Roman" w:cs="Times New Roman"/>
            <w:color w:val="auto"/>
            <w:u w:val="none"/>
          </w:rPr>
          <w:t>www.rts-tender.ru</w:t>
        </w:r>
      </w:hyperlink>
      <w:r w:rsidRPr="007C0467">
        <w:rPr>
          <w:rFonts w:ascii="Times New Roman" w:hAnsi="Times New Roman" w:cs="Times New Roman"/>
        </w:rPr>
        <w:t>;</w:t>
      </w:r>
    </w:p>
    <w:p w:rsidR="00F46EFD" w:rsidRPr="007C0467" w:rsidRDefault="00F46EFD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7C0467">
        <w:rPr>
          <w:rFonts w:ascii="Times New Roman" w:hAnsi="Times New Roman" w:cs="Times New Roman"/>
          <w:b/>
        </w:rPr>
        <w:t>Дата и время начала приема заявок:</w:t>
      </w:r>
      <w:r w:rsidRPr="007C0467">
        <w:rPr>
          <w:rFonts w:ascii="Times New Roman" w:hAnsi="Times New Roman" w:cs="Times New Roman"/>
        </w:rPr>
        <w:t xml:space="preserve"> в 00-00 часов (московское время) 0</w:t>
      </w:r>
      <w:r w:rsidR="007C0467" w:rsidRPr="007C0467">
        <w:rPr>
          <w:rFonts w:ascii="Times New Roman" w:hAnsi="Times New Roman" w:cs="Times New Roman"/>
        </w:rPr>
        <w:t>8</w:t>
      </w:r>
      <w:r w:rsidRPr="007C0467">
        <w:rPr>
          <w:rFonts w:ascii="Times New Roman" w:hAnsi="Times New Roman" w:cs="Times New Roman"/>
        </w:rPr>
        <w:t xml:space="preserve">.03.2025г. </w:t>
      </w:r>
    </w:p>
    <w:p w:rsidR="00F46EFD" w:rsidRPr="007C0467" w:rsidRDefault="00F46EFD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7C0467">
        <w:rPr>
          <w:rFonts w:ascii="Times New Roman" w:hAnsi="Times New Roman" w:cs="Times New Roman"/>
          <w:b/>
        </w:rPr>
        <w:t>Дата и время окончания приема заявок:</w:t>
      </w:r>
      <w:r w:rsidRPr="007C0467">
        <w:rPr>
          <w:rFonts w:ascii="Times New Roman" w:hAnsi="Times New Roman" w:cs="Times New Roman"/>
        </w:rPr>
        <w:t xml:space="preserve"> в 09-00 часов (московское время) 0</w:t>
      </w:r>
      <w:r w:rsidR="007C0467" w:rsidRPr="007C0467">
        <w:rPr>
          <w:rFonts w:ascii="Times New Roman" w:hAnsi="Times New Roman" w:cs="Times New Roman"/>
        </w:rPr>
        <w:t>4</w:t>
      </w:r>
      <w:r w:rsidRPr="007C0467">
        <w:rPr>
          <w:rFonts w:ascii="Times New Roman" w:hAnsi="Times New Roman" w:cs="Times New Roman"/>
        </w:rPr>
        <w:t>.04.2025г.</w:t>
      </w:r>
    </w:p>
    <w:p w:rsidR="00F46EFD" w:rsidRPr="007C0467" w:rsidRDefault="00F46EFD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7C0467">
        <w:rPr>
          <w:rFonts w:ascii="Times New Roman" w:hAnsi="Times New Roman" w:cs="Times New Roman"/>
          <w:b/>
        </w:rPr>
        <w:t>Дата рассмотрения заявок:</w:t>
      </w:r>
      <w:r w:rsidRPr="007C0467">
        <w:rPr>
          <w:rFonts w:ascii="Times New Roman" w:hAnsi="Times New Roman" w:cs="Times New Roman"/>
        </w:rPr>
        <w:t xml:space="preserve"> 0</w:t>
      </w:r>
      <w:r w:rsidR="007C0467" w:rsidRPr="007C0467">
        <w:rPr>
          <w:rFonts w:ascii="Times New Roman" w:hAnsi="Times New Roman" w:cs="Times New Roman"/>
        </w:rPr>
        <w:t>9</w:t>
      </w:r>
      <w:r w:rsidRPr="007C0467">
        <w:rPr>
          <w:rFonts w:ascii="Times New Roman" w:hAnsi="Times New Roman" w:cs="Times New Roman"/>
        </w:rPr>
        <w:t>.04.2025г.</w:t>
      </w:r>
    </w:p>
    <w:p w:rsidR="00F46EFD" w:rsidRPr="007C0467" w:rsidRDefault="00F46EFD" w:rsidP="007C04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7C0467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7C0467">
        <w:rPr>
          <w:rFonts w:ascii="Times New Roman" w:hAnsi="Times New Roman" w:cs="Times New Roman"/>
        </w:rPr>
        <w:t xml:space="preserve">в 09-00 часов (московское время) </w:t>
      </w:r>
      <w:r w:rsidR="007C0467" w:rsidRPr="007C0467">
        <w:rPr>
          <w:rFonts w:ascii="Times New Roman" w:hAnsi="Times New Roman" w:cs="Times New Roman"/>
        </w:rPr>
        <w:t>10</w:t>
      </w:r>
      <w:r w:rsidRPr="007C0467">
        <w:rPr>
          <w:rFonts w:ascii="Times New Roman" w:hAnsi="Times New Roman" w:cs="Times New Roman"/>
        </w:rPr>
        <w:t>.04.2025г.</w:t>
      </w:r>
    </w:p>
    <w:p w:rsidR="00554B05" w:rsidRPr="007C0467" w:rsidRDefault="00554B05" w:rsidP="007C04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7C0467" w:rsidTr="00BD34D3">
        <w:tc>
          <w:tcPr>
            <w:tcW w:w="456" w:type="dxa"/>
            <w:vMerge w:val="restart"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7C0467" w:rsidRDefault="00BF5B34" w:rsidP="007C046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7C0467" w:rsidTr="00BD34D3">
        <w:tc>
          <w:tcPr>
            <w:tcW w:w="456" w:type="dxa"/>
            <w:vMerge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7C0467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7C0467" w:rsidRDefault="000A0DE6" w:rsidP="007C0467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7C0467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7C0467" w:rsidRDefault="000A0DE6" w:rsidP="007C0467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7C0467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7C0467">
              <w:rPr>
                <w:rFonts w:ascii="Times New Roman" w:hAnsi="Times New Roman" w:cs="Times New Roman"/>
                <w:color w:val="000000"/>
              </w:rPr>
              <w:t>_2303@</w:t>
            </w:r>
            <w:r w:rsidRPr="007C0467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7C0467">
              <w:rPr>
                <w:rFonts w:ascii="Times New Roman" w:hAnsi="Times New Roman" w:cs="Times New Roman"/>
                <w:color w:val="000000"/>
              </w:rPr>
              <w:t>.ru</w:t>
            </w:r>
            <w:r w:rsidRPr="007C0467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7C0467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7C0467" w:rsidTr="00BD34D3">
        <w:tc>
          <w:tcPr>
            <w:tcW w:w="456" w:type="dxa"/>
            <w:vMerge w:val="restart"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7C0467" w:rsidRDefault="00BF5B34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7C0467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7C0467">
              <w:rPr>
                <w:rFonts w:ascii="Times New Roman" w:hAnsi="Times New Roman" w:cs="Times New Roman"/>
                <w:b/>
              </w:rPr>
              <w:t>аренды</w:t>
            </w:r>
            <w:r w:rsidRPr="007C0467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7C0467" w:rsidTr="00BD34D3">
        <w:tc>
          <w:tcPr>
            <w:tcW w:w="456" w:type="dxa"/>
            <w:vMerge/>
          </w:tcPr>
          <w:p w:rsidR="00BF5B34" w:rsidRPr="007C0467" w:rsidRDefault="00BF5B3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7C0467" w:rsidRDefault="00BF5B34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7C0467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7C0467" w:rsidRDefault="00BF5B34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7C0467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7C0467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7C0467">
              <w:rPr>
                <w:rFonts w:ascii="Times New Roman" w:eastAsia="Times New Roman" w:hAnsi="Times New Roman" w:cs="Times New Roman"/>
              </w:rPr>
              <w:t>ЗП</w:t>
            </w:r>
            <w:r w:rsidRPr="007C0467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7C0467" w:rsidRDefault="00BF5B34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7C0467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Pr="007C0467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info@tp-tender.ru</w:t>
              </w:r>
            </w:hyperlink>
            <w:r w:rsidRPr="007C0467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7C0467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913</w:t>
            </w:r>
            <w:r w:rsidRPr="007C0467">
              <w:rPr>
                <w:rFonts w:ascii="Times New Roman" w:eastAsia="Times New Roman" w:hAnsi="Times New Roman" w:cs="Times New Roman"/>
              </w:rPr>
              <w:t>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612</w:t>
            </w:r>
            <w:r w:rsidRPr="007C0467">
              <w:rPr>
                <w:rFonts w:ascii="Times New Roman" w:eastAsia="Times New Roman" w:hAnsi="Times New Roman" w:cs="Times New Roman"/>
              </w:rPr>
              <w:t>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6</w:t>
            </w:r>
            <w:r w:rsidRPr="007C0467">
              <w:rPr>
                <w:rFonts w:ascii="Times New Roman" w:eastAsia="Times New Roman" w:hAnsi="Times New Roman" w:cs="Times New Roman"/>
              </w:rPr>
              <w:t>4-</w:t>
            </w:r>
            <w:r w:rsidR="00B85B61" w:rsidRPr="007C0467">
              <w:rPr>
                <w:rFonts w:ascii="Times New Roman" w:eastAsia="Times New Roman" w:hAnsi="Times New Roman" w:cs="Times New Roman"/>
              </w:rPr>
              <w:t>74</w:t>
            </w:r>
            <w:r w:rsidRPr="007C0467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7C0467" w:rsidRDefault="00BF5B34" w:rsidP="007C046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0467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7C0467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7C0467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7C0467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7C0467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7C0467" w:rsidRDefault="00BB355D" w:rsidP="007C046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7C0467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7C046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7C0467">
              <w:rPr>
                <w:rFonts w:ascii="Times New Roman" w:hAnsi="Times New Roman" w:cs="Times New Roman"/>
                <w:b/>
                <w:i/>
              </w:rPr>
              <w:t>победителя эле</w:t>
            </w:r>
            <w:bookmarkStart w:id="0" w:name="_GoBack"/>
            <w:bookmarkEnd w:id="0"/>
            <w:r w:rsidR="00BF5B34" w:rsidRPr="007C0467">
              <w:rPr>
                <w:rFonts w:ascii="Times New Roman" w:hAnsi="Times New Roman" w:cs="Times New Roman"/>
                <w:b/>
                <w:i/>
              </w:rPr>
              <w:t xml:space="preserve">ктронного аукциона или иных </w:t>
            </w:r>
            <w:r w:rsidR="008B571E" w:rsidRPr="007C0467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7C0467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7C0467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7C0467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7C0467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7C0467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7C0467" w:rsidRDefault="00BF5B34" w:rsidP="007C046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7C0467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7C0467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7C0467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7C0467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7C0467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7C0467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7C0467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7C0467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7C0467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7C0467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7C0467" w:rsidRDefault="008B571E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7C0467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7C0467" w:rsidRDefault="0048132B" w:rsidP="007C046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7C0467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7C0467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7C0467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7C0467">
              <w:rPr>
                <w:rFonts w:ascii="Times New Roman" w:hAnsi="Times New Roman" w:cs="Times New Roman"/>
              </w:rPr>
              <w:t xml:space="preserve">(№ Лота ____) </w:t>
            </w:r>
            <w:r w:rsidRPr="007C0467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7C0467">
              <w:rPr>
                <w:rFonts w:ascii="Times New Roman" w:hAnsi="Times New Roman" w:cs="Times New Roman"/>
              </w:rPr>
              <w:t xml:space="preserve"> б</w:t>
            </w:r>
            <w:r w:rsidRPr="007C0467">
              <w:rPr>
                <w:rFonts w:ascii="Times New Roman" w:hAnsi="Times New Roman" w:cs="Times New Roman"/>
              </w:rPr>
              <w:t>ез НДС»</w:t>
            </w:r>
            <w:r w:rsidR="00723176" w:rsidRPr="007C0467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7C0467" w:rsidTr="00BD34D3">
        <w:tc>
          <w:tcPr>
            <w:tcW w:w="456" w:type="dxa"/>
          </w:tcPr>
          <w:p w:rsidR="00531D7E" w:rsidRPr="007C0467" w:rsidRDefault="005A4894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7C0467" w:rsidRDefault="00531D7E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7C0467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7C0467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7C0467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7C0467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7C0467" w:rsidTr="00BD34D3">
        <w:tc>
          <w:tcPr>
            <w:tcW w:w="456" w:type="dxa"/>
          </w:tcPr>
          <w:p w:rsidR="00531D7E" w:rsidRPr="007C0467" w:rsidRDefault="00531D7E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7C0467" w:rsidRDefault="00531D7E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7C0467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7C0467">
              <w:rPr>
                <w:rFonts w:ascii="Times New Roman" w:hAnsi="Times New Roman" w:cs="Times New Roman"/>
              </w:rPr>
              <w:t>.</w:t>
            </w:r>
          </w:p>
          <w:p w:rsidR="00531D7E" w:rsidRPr="007C0467" w:rsidRDefault="002469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7C0467">
              <w:rPr>
                <w:rFonts w:ascii="Times New Roman" w:hAnsi="Times New Roman" w:cs="Times New Roman"/>
              </w:rPr>
              <w:t xml:space="preserve"> апреля </w:t>
            </w:r>
            <w:r w:rsidRPr="007C0467">
              <w:rPr>
                <w:rFonts w:ascii="Times New Roman" w:hAnsi="Times New Roman" w:cs="Times New Roman"/>
              </w:rPr>
              <w:t xml:space="preserve">2013 </w:t>
            </w:r>
            <w:r w:rsidR="000F7F33" w:rsidRPr="007C0467">
              <w:rPr>
                <w:rFonts w:ascii="Times New Roman" w:hAnsi="Times New Roman" w:cs="Times New Roman"/>
              </w:rPr>
              <w:t xml:space="preserve">года </w:t>
            </w:r>
            <w:r w:rsidRPr="007C0467">
              <w:rPr>
                <w:rFonts w:ascii="Times New Roman" w:hAnsi="Times New Roman" w:cs="Times New Roman"/>
              </w:rPr>
              <w:t>№ 44-ФЗ, от 18</w:t>
            </w:r>
            <w:r w:rsidR="000F7F33" w:rsidRPr="007C0467">
              <w:rPr>
                <w:rFonts w:ascii="Times New Roman" w:hAnsi="Times New Roman" w:cs="Times New Roman"/>
              </w:rPr>
              <w:t xml:space="preserve"> июля </w:t>
            </w:r>
            <w:r w:rsidRPr="007C0467">
              <w:rPr>
                <w:rFonts w:ascii="Times New Roman" w:hAnsi="Times New Roman" w:cs="Times New Roman"/>
              </w:rPr>
              <w:t xml:space="preserve">2011 </w:t>
            </w:r>
            <w:r w:rsidR="000F7F33" w:rsidRPr="007C0467">
              <w:rPr>
                <w:rFonts w:ascii="Times New Roman" w:hAnsi="Times New Roman" w:cs="Times New Roman"/>
              </w:rPr>
              <w:t xml:space="preserve">года </w:t>
            </w:r>
            <w:r w:rsidRPr="007C0467">
              <w:rPr>
                <w:rFonts w:ascii="Times New Roman" w:hAnsi="Times New Roman" w:cs="Times New Roman"/>
              </w:rPr>
              <w:t>№ 223-ФЗ».</w:t>
            </w:r>
          </w:p>
          <w:p w:rsidR="00954B0B" w:rsidRPr="007C0467" w:rsidRDefault="00625A4B" w:rsidP="007C0467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C0467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7C0467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7C0467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7C0467" w:rsidTr="00BD34D3">
        <w:tc>
          <w:tcPr>
            <w:tcW w:w="456" w:type="dxa"/>
            <w:vMerge w:val="restart"/>
          </w:tcPr>
          <w:p w:rsidR="00243133" w:rsidRPr="007C0467" w:rsidRDefault="00243133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7C0467" w:rsidRDefault="00243133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7C0467" w:rsidTr="00BD34D3">
        <w:trPr>
          <w:trHeight w:val="554"/>
        </w:trPr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Реквизиты решения о проведении аукциона: </w:t>
            </w:r>
            <w:r w:rsidRPr="007C0467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</w:rPr>
              <w:t xml:space="preserve">от </w:t>
            </w:r>
            <w:r w:rsidR="003674F2" w:rsidRPr="007C0467">
              <w:rPr>
                <w:rFonts w:ascii="Times New Roman" w:hAnsi="Times New Roman" w:cs="Times New Roman"/>
              </w:rPr>
              <w:t>0</w:t>
            </w:r>
            <w:r w:rsidR="00395618" w:rsidRPr="007C0467">
              <w:rPr>
                <w:rFonts w:ascii="Times New Roman" w:hAnsi="Times New Roman" w:cs="Times New Roman"/>
              </w:rPr>
              <w:t>7</w:t>
            </w:r>
            <w:r w:rsidR="003674F2" w:rsidRPr="007C0467">
              <w:rPr>
                <w:rFonts w:ascii="Times New Roman" w:hAnsi="Times New Roman" w:cs="Times New Roman"/>
              </w:rPr>
              <w:t xml:space="preserve"> марта</w:t>
            </w:r>
            <w:r w:rsidRPr="007C0467">
              <w:rPr>
                <w:rFonts w:ascii="Times New Roman" w:hAnsi="Times New Roman" w:cs="Times New Roman"/>
              </w:rPr>
              <w:t xml:space="preserve"> 2025 года № </w:t>
            </w:r>
            <w:r w:rsidR="003674F2" w:rsidRPr="007C0467">
              <w:rPr>
                <w:rFonts w:ascii="Times New Roman" w:hAnsi="Times New Roman" w:cs="Times New Roman"/>
              </w:rPr>
              <w:t>1</w:t>
            </w:r>
            <w:r w:rsidR="00395618" w:rsidRPr="007C0467">
              <w:rPr>
                <w:rFonts w:ascii="Times New Roman" w:hAnsi="Times New Roman" w:cs="Times New Roman"/>
              </w:rPr>
              <w:t>4</w:t>
            </w:r>
            <w:r w:rsidR="00F316E2">
              <w:rPr>
                <w:rFonts w:ascii="Times New Roman" w:hAnsi="Times New Roman" w:cs="Times New Roman"/>
              </w:rPr>
              <w:t xml:space="preserve"> </w:t>
            </w:r>
            <w:r w:rsidRPr="007C0467">
              <w:rPr>
                <w:rFonts w:ascii="Times New Roman" w:hAnsi="Times New Roman" w:cs="Times New Roman"/>
              </w:rPr>
              <w:t>«</w:t>
            </w:r>
            <w:r w:rsidRPr="007C0467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7C0467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7C0467" w:rsidTr="009E2F92">
        <w:trPr>
          <w:trHeight w:val="60"/>
        </w:trPr>
        <w:tc>
          <w:tcPr>
            <w:tcW w:w="456" w:type="dxa"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7C0467" w:rsidRDefault="000A0DE6" w:rsidP="007C0467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Pr="007C0467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7C0467">
              <w:rPr>
                <w:rFonts w:ascii="Times New Roman" w:hAnsi="Times New Roman" w:cs="Times New Roman"/>
                <w:b/>
              </w:rPr>
              <w:t xml:space="preserve">: </w:t>
            </w:r>
            <w:r w:rsidRPr="007C0467">
              <w:rPr>
                <w:rFonts w:ascii="Times New Roman" w:hAnsi="Times New Roman" w:cs="Times New Roman"/>
              </w:rPr>
              <w:t>Торги не проводились.</w:t>
            </w:r>
          </w:p>
        </w:tc>
      </w:tr>
      <w:tr w:rsidR="000A0DE6" w:rsidRPr="007C0467" w:rsidTr="00BD34D3">
        <w:tc>
          <w:tcPr>
            <w:tcW w:w="456" w:type="dxa"/>
            <w:vMerge w:val="restart"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7C0467" w:rsidRDefault="000A0DE6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1: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55:26:230415:459, местоположение: Омская область, Таврический р-н, с Луговое, ул Молодежная, д 34,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lastRenderedPageBreak/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2: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55:26:230415:460, местоположение: Омская область, Таврический р-н, с Луговое, ул Молодежная, д 36,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lastRenderedPageBreak/>
              <w:t>- максимальная нагрузка определяется самим Заявителем, при подаче заявки.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3: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55:26:230415:461, местоположение: Омская область, Таврический р-н, с Луговое, ул Молодежная, д 38,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определения мест </w:t>
            </w:r>
            <w:r w:rsidRPr="007C0467">
              <w:rPr>
                <w:rFonts w:ascii="Times New Roman" w:hAnsi="Times New Roman" w:cs="Times New Roman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4: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55:26:230415:440, местоположение: Омская область, Таврический р-н, с Луговое, ул Молодежная, д 39,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lastRenderedPageBreak/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Ответ РОССЕТИ ПО «Восточные электрические сети» № 1.5/51.12/35 от  05.02.2025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0A0DE6" w:rsidP="007C046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7C0467">
              <w:rPr>
                <w:b/>
                <w:sz w:val="22"/>
                <w:szCs w:val="22"/>
              </w:rPr>
              <w:t xml:space="preserve">По Лоту № 5: </w:t>
            </w:r>
            <w:r w:rsidR="00395618" w:rsidRPr="007C046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55:26:230415:462, местоположение: Омская область, Таврический р-н, с Луговое, ул Молодежная, д 40, площадью: 2400 кв.м. </w:t>
            </w:r>
            <w:r w:rsidRPr="007C0467">
              <w:rPr>
                <w:rFonts w:eastAsia="Calibri"/>
                <w:sz w:val="22"/>
                <w:szCs w:val="22"/>
              </w:rPr>
              <w:t>(</w:t>
            </w:r>
            <w:r w:rsidRPr="007C0467">
              <w:rPr>
                <w:sz w:val="22"/>
                <w:szCs w:val="22"/>
              </w:rPr>
              <w:t>далее – земельный участок).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C046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выпиской из Единого </w:t>
            </w:r>
            <w:r w:rsidRPr="007C0467">
              <w:rPr>
                <w:rFonts w:ascii="Times New Roman" w:hAnsi="Times New Roman" w:cs="Times New Roman"/>
                <w:u w:val="single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недвижимости:</w:t>
            </w:r>
            <w:r w:rsidRPr="007C046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7C046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7C046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7C046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7C0467" w:rsidRDefault="000A0DE6" w:rsidP="007C046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7C046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7C046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7C046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7C046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7C046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7C0467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7C0467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7C0467" w:rsidRDefault="000A0DE6" w:rsidP="007C046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7C046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7C0467" w:rsidRDefault="000A0DE6" w:rsidP="007C046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7C0467" w:rsidRDefault="000A0DE6" w:rsidP="007C046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7C046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7C0467" w:rsidRDefault="000A0DE6" w:rsidP="007C046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046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7C0467" w:rsidRDefault="000A0DE6" w:rsidP="007C046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lastRenderedPageBreak/>
              <w:t>Ответ РОССЕТИ ПО «Восточные электрические сети» от 05.02.2025 № 1.5/51.12/35.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7C0467" w:rsidRDefault="000A0DE6" w:rsidP="007C0467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7C0467" w:rsidRDefault="000A0DE6" w:rsidP="007C046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7C0467" w:rsidRDefault="003776D1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7C046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7C0467" w:rsidRDefault="000A0DE6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7C046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7C0467" w:rsidRDefault="003776D1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7C046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7" w:anchor="/document/12124624/entry/39187" w:history="1">
              <w:r w:rsidRPr="007C0467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8" w:anchor="dst2788" w:history="1">
              <w:r w:rsidR="00970D4E" w:rsidRPr="007C0467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7C046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7C0467" w:rsidTr="00BD34D3">
        <w:tc>
          <w:tcPr>
            <w:tcW w:w="456" w:type="dxa"/>
            <w:vMerge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7C0467" w:rsidRDefault="000A0DE6" w:rsidP="007C0467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072AE1" w:rsidRPr="007C0467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19" w:anchor="/document/12124624/entry/39187" w:history="1">
              <w:r w:rsidR="00072AE1" w:rsidRPr="007C0467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7C0467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0A0DE6" w:rsidRPr="007C0467" w:rsidRDefault="00072AE1" w:rsidP="007C0467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7C0467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0" w:anchor="dst2788" w:history="1">
              <w:r w:rsidRPr="007C0467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7C0467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</w:t>
            </w:r>
            <w:r w:rsidR="007078EC" w:rsidRPr="007C0467">
              <w:rPr>
                <w:rFonts w:ascii="Times New Roman" w:hAnsi="Times New Roman" w:cs="Times New Roman"/>
                <w:bCs/>
              </w:rPr>
              <w:t>и</w:t>
            </w:r>
            <w:r w:rsidRPr="007C0467">
              <w:rPr>
                <w:rFonts w:ascii="Times New Roman" w:hAnsi="Times New Roman" w:cs="Times New Roman"/>
                <w:bCs/>
              </w:rPr>
              <w:t>сь</w:t>
            </w:r>
            <w:r w:rsidR="000A0DE6" w:rsidRPr="007C0467">
              <w:rPr>
                <w:rFonts w:ascii="Times New Roman" w:hAnsi="Times New Roman" w:cs="Times New Roman"/>
                <w:bCs/>
              </w:rPr>
              <w:t>:</w:t>
            </w:r>
          </w:p>
          <w:p w:rsidR="00072AE1" w:rsidRPr="007C0467" w:rsidRDefault="000A0DE6" w:rsidP="007C0467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 № 1:</w:t>
            </w:r>
            <w:r w:rsidR="008806C1" w:rsidRPr="007C0467">
              <w:rPr>
                <w:rFonts w:ascii="Times New Roman" w:hAnsi="Times New Roman" w:cs="Times New Roman"/>
                <w:bCs/>
              </w:rPr>
              <w:t xml:space="preserve"> 0</w:t>
            </w:r>
            <w:r w:rsidR="00193680" w:rsidRPr="007C0467">
              <w:rPr>
                <w:rFonts w:ascii="Times New Roman" w:hAnsi="Times New Roman" w:cs="Times New Roman"/>
                <w:bCs/>
              </w:rPr>
              <w:t xml:space="preserve">6 декабря 2024года; </w:t>
            </w:r>
            <w:r w:rsidR="00193680" w:rsidRPr="007C0467">
              <w:rPr>
                <w:rFonts w:ascii="Times New Roman" w:hAnsi="Times New Roman" w:cs="Times New Roman"/>
                <w:b/>
                <w:bCs/>
              </w:rPr>
              <w:t xml:space="preserve">По Лоту № 2: </w:t>
            </w:r>
            <w:r w:rsidR="00193680" w:rsidRPr="007C0467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7C0467">
              <w:rPr>
                <w:rFonts w:ascii="Times New Roman" w:hAnsi="Times New Roman" w:cs="Times New Roman"/>
                <w:b/>
                <w:bCs/>
              </w:rPr>
              <w:t xml:space="preserve">По Лоту № 3: </w:t>
            </w:r>
            <w:r w:rsidR="00193680" w:rsidRPr="007C0467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7C0467">
              <w:rPr>
                <w:rFonts w:ascii="Times New Roman" w:hAnsi="Times New Roman" w:cs="Times New Roman"/>
                <w:b/>
                <w:bCs/>
              </w:rPr>
              <w:t xml:space="preserve">По Лоту № 4: </w:t>
            </w:r>
            <w:r w:rsidR="00193680" w:rsidRPr="007C0467">
              <w:rPr>
                <w:rFonts w:ascii="Times New Roman" w:hAnsi="Times New Roman" w:cs="Times New Roman"/>
                <w:bCs/>
              </w:rPr>
              <w:t>06 декабря 2024года;</w:t>
            </w:r>
            <w:r w:rsidR="00193680" w:rsidRPr="007C0467">
              <w:rPr>
                <w:rFonts w:ascii="Times New Roman" w:hAnsi="Times New Roman" w:cs="Times New Roman"/>
                <w:b/>
                <w:bCs/>
              </w:rPr>
              <w:t xml:space="preserve"> По Лоту № 5: </w:t>
            </w:r>
            <w:r w:rsidR="00193680" w:rsidRPr="007C0467">
              <w:rPr>
                <w:rFonts w:ascii="Times New Roman" w:hAnsi="Times New Roman" w:cs="Times New Roman"/>
                <w:bCs/>
              </w:rPr>
              <w:t>06 декабря 2024года.</w:t>
            </w:r>
          </w:p>
        </w:tc>
      </w:tr>
      <w:tr w:rsidR="00847A80" w:rsidRPr="007C0467" w:rsidTr="00BD34D3">
        <w:tc>
          <w:tcPr>
            <w:tcW w:w="456" w:type="dxa"/>
            <w:vMerge w:val="restart"/>
          </w:tcPr>
          <w:p w:rsidR="00847A80" w:rsidRPr="007C0467" w:rsidRDefault="00847A80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7C0467" w:rsidRDefault="00847A80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1" w:anchor="dst100346" w:history="1">
              <w:r w:rsidRPr="007C0467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2" w:anchor="dst100138" w:history="1">
              <w:r w:rsidRPr="007C0467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3776D1" w:rsidP="007C0467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7C0467">
              <w:rPr>
                <w:rFonts w:ascii="Times New Roman" w:hAnsi="Times New Roman" w:cs="Times New Roman"/>
                <w:b/>
              </w:rPr>
              <w:t>м</w:t>
            </w:r>
            <w:r w:rsidRPr="007C0467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1D6AE2" w:rsidRPr="007C0467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0467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7C0467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3" w:anchor="dst100346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7C0467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7C0467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7C0467" w:rsidRDefault="000A0DE6" w:rsidP="007C0467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7C0467">
              <w:rPr>
                <w:rFonts w:ascii="Times New Roman" w:hAnsi="Times New Roman" w:cs="Times New Roman"/>
                <w:b/>
              </w:rPr>
              <w:t>:</w:t>
            </w:r>
            <w:r w:rsidRPr="007C0467">
              <w:rPr>
                <w:rFonts w:ascii="Times New Roman" w:hAnsi="Times New Roman" w:cs="Times New Roman"/>
                <w:b/>
              </w:rPr>
              <w:t xml:space="preserve"> №№ 1,2,3,4,5:</w:t>
            </w:r>
            <w:r w:rsidR="001D6AE2" w:rsidRPr="007C0467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7C0467">
              <w:rPr>
                <w:rFonts w:ascii="Times New Roman" w:hAnsi="Times New Roman" w:cs="Times New Roman"/>
                <w:b/>
              </w:rPr>
              <w:t>№ 1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0A0DE6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</w:t>
            </w:r>
            <w:r w:rsidR="000A0DE6" w:rsidRPr="007C0467">
              <w:rPr>
                <w:rFonts w:ascii="Times New Roman" w:hAnsi="Times New Roman" w:cs="Times New Roman"/>
              </w:rPr>
              <w:lastRenderedPageBreak/>
              <w:t xml:space="preserve">которое передаются по договору аренды земельного участка </w:t>
            </w:r>
            <w:r w:rsidR="000A0DE6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0A0DE6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0A0DE6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0A0DE6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7C0467">
              <w:rPr>
                <w:rFonts w:ascii="Times New Roman" w:hAnsi="Times New Roman" w:cs="Times New Roman"/>
                <w:b/>
              </w:rPr>
              <w:t>№ 2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 № 3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 № 4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7C0467" w:rsidTr="00BD34D3">
        <w:tc>
          <w:tcPr>
            <w:tcW w:w="456" w:type="dxa"/>
            <w:vMerge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7C0467" w:rsidRDefault="005F3D6A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7C0467">
              <w:rPr>
                <w:rFonts w:ascii="Times New Roman" w:hAnsi="Times New Roman" w:cs="Times New Roman"/>
                <w:b/>
              </w:rPr>
              <w:t xml:space="preserve"> 5</w:t>
            </w:r>
            <w:r w:rsidR="000A0DE6"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7C046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7C046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7C046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7C046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7C0467">
              <w:rPr>
                <w:rFonts w:ascii="Times New Roman" w:hAnsi="Times New Roman" w:cs="Times New Roman"/>
                <w:b/>
              </w:rPr>
              <w:t>19 200 (девятнадцать тысяч двести) рублей 00 копеек в год</w:t>
            </w:r>
            <w:r w:rsidR="00B51D6C" w:rsidRPr="007C0467">
              <w:rPr>
                <w:rFonts w:ascii="Times New Roman" w:hAnsi="Times New Roman" w:cs="Times New Roman"/>
                <w:b/>
              </w:rPr>
              <w:t>, НДС не облагает</w:t>
            </w:r>
            <w:r w:rsidR="001A7C14" w:rsidRPr="007C0467">
              <w:rPr>
                <w:rFonts w:ascii="Times New Roman" w:hAnsi="Times New Roman" w:cs="Times New Roman"/>
                <w:b/>
              </w:rPr>
              <w:t>ся  (пп. 17 п. 2 ст. 149 НК РФ).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EC5903" w:rsidP="007C046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1D6AE2" w:rsidRPr="007C0467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0A0DE6" w:rsidRPr="007C0467" w:rsidRDefault="000A0DE6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7C0467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1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2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3: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4: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5:</w:t>
            </w:r>
            <w:r w:rsidRPr="007C046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ИНН 7710357167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КПП 773001001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7C046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4" w:history="1">
              <w:r w:rsidR="00287DED" w:rsidRPr="007C0467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7C0467" w:rsidRDefault="001D6AE2" w:rsidP="007C0467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7C0467" w:rsidRDefault="001D6AE2" w:rsidP="007C0467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7C0467">
              <w:rPr>
                <w:sz w:val="22"/>
                <w:szCs w:val="22"/>
              </w:rPr>
              <w:t xml:space="preserve">3 (трех) </w:t>
            </w:r>
            <w:r w:rsidRPr="007C0467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7C0467" w:rsidRDefault="001D6AE2" w:rsidP="007C0467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7C0467">
              <w:rPr>
                <w:sz w:val="22"/>
                <w:szCs w:val="22"/>
              </w:rPr>
              <w:t xml:space="preserve">3 (трех) </w:t>
            </w:r>
            <w:r w:rsidRPr="007C0467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7C0467">
              <w:rPr>
                <w:sz w:val="22"/>
                <w:szCs w:val="22"/>
              </w:rPr>
              <w:t>форме;</w:t>
            </w:r>
          </w:p>
          <w:p w:rsidR="001D6AE2" w:rsidRPr="007C0467" w:rsidRDefault="001D6AE2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7C0467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7C0467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7C046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7C0467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7C0467" w:rsidRDefault="00932C4A" w:rsidP="007C046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5" w:anchor="dst689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2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7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8" w:anchor="dst2780" w:history="1">
              <w:r w:rsidRPr="007C046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7C0467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7C0467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7C0467" w:rsidTr="00BD34D3">
        <w:tc>
          <w:tcPr>
            <w:tcW w:w="456" w:type="dxa"/>
            <w:vMerge w:val="restart"/>
          </w:tcPr>
          <w:p w:rsidR="00D06E98" w:rsidRPr="007C0467" w:rsidRDefault="00D06E98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7C0467" w:rsidRDefault="00D06E98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7C0467" w:rsidRDefault="00D06E98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7C0467" w:rsidRDefault="00D06E98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1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2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3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4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7C0467" w:rsidTr="00BD34D3">
        <w:tc>
          <w:tcPr>
            <w:tcW w:w="456" w:type="dxa"/>
            <w:vMerge/>
          </w:tcPr>
          <w:p w:rsidR="00B51D6C" w:rsidRPr="007C0467" w:rsidRDefault="00B51D6C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7C0467" w:rsidRDefault="00B51D6C" w:rsidP="007C046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 Лоту № 5</w:t>
            </w:r>
            <w:r w:rsidRPr="007C046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7C046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7C0467" w:rsidRDefault="000A0DE6" w:rsidP="007C0467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7C0467" w:rsidRDefault="000A0DE6" w:rsidP="007C0467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7C0467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7C0467">
              <w:rPr>
                <w:rFonts w:ascii="Times New Roman" w:hAnsi="Times New Roman" w:cs="Times New Roman"/>
              </w:rPr>
              <w:t>электронную площадку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7C0467" w:rsidTr="00BD34D3"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9" w:anchor="dst671" w:history="1">
              <w:r w:rsidRPr="007C0467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7C0467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0" w:anchor="dst100339" w:history="1">
              <w:r w:rsidRPr="007C0467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7C0467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7C0467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7C0467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7C0467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1" w:history="1">
              <w:r w:rsidRPr="007C0467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7C0467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7C0467" w:rsidTr="00BD34D3"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7C0467" w:rsidRDefault="001D6AE2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7C0467" w:rsidRDefault="001D6AE2" w:rsidP="007C046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7C0467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7C0467" w:rsidRDefault="001D6AE2" w:rsidP="007C0467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7C0467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7C0467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7C0467" w:rsidRDefault="001D6AE2" w:rsidP="007C0467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7C0467" w:rsidRDefault="001D6AE2" w:rsidP="007C0467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7C0467" w:rsidRDefault="001D6AE2" w:rsidP="007C0467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467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7C0467" w:rsidRDefault="001D6AE2" w:rsidP="007C0467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7C0467" w:rsidTr="00BD34D3">
        <w:trPr>
          <w:trHeight w:val="120"/>
        </w:trPr>
        <w:tc>
          <w:tcPr>
            <w:tcW w:w="456" w:type="dxa"/>
          </w:tcPr>
          <w:p w:rsidR="00287DED" w:rsidRPr="007C0467" w:rsidRDefault="00287DED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7C0467" w:rsidRDefault="00287DED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7C0467" w:rsidTr="00BD34D3">
        <w:trPr>
          <w:trHeight w:val="120"/>
        </w:trPr>
        <w:tc>
          <w:tcPr>
            <w:tcW w:w="456" w:type="dxa"/>
          </w:tcPr>
          <w:p w:rsidR="00287DED" w:rsidRPr="007C0467" w:rsidRDefault="00287DED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7C0467" w:rsidRDefault="00287DED" w:rsidP="007C0467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7C0467" w:rsidRDefault="003756BF" w:rsidP="007C0467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</w:t>
            </w: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7C0467">
              <w:rPr>
                <w:rFonts w:ascii="Times New Roman" w:hAnsi="Times New Roman" w:cs="Times New Roman"/>
              </w:rPr>
              <w:t>21 настоящего раздела</w:t>
            </w:r>
            <w:r w:rsidRPr="007C046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87DED" w:rsidRPr="007C046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2" w:anchor="dst620" w:history="1">
              <w:r w:rsidRPr="007C0467">
                <w:rPr>
                  <w:rFonts w:ascii="Times New Roman" w:hAnsi="Times New Roman" w:cs="Times New Roman"/>
                </w:rPr>
                <w:t>пунктом 8</w:t>
              </w:r>
            </w:hyperlink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7C0467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7C0467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7C0467" w:rsidRDefault="001D6AE2" w:rsidP="007C046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7C0467" w:rsidTr="00BD34D3">
        <w:trPr>
          <w:trHeight w:val="289"/>
        </w:trPr>
        <w:tc>
          <w:tcPr>
            <w:tcW w:w="456" w:type="dxa"/>
            <w:vMerge w:val="restart"/>
          </w:tcPr>
          <w:p w:rsidR="001D6AE2" w:rsidRPr="007C0467" w:rsidRDefault="00287DED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7C0467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7C0467" w:rsidRDefault="001D6AE2" w:rsidP="007C046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7C0467" w:rsidRDefault="001D6AE2" w:rsidP="007C0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2</w:t>
            </w:r>
            <w:r w:rsidR="001667E3" w:rsidRPr="007C04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0467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7C0467" w:rsidTr="00BD34D3">
        <w:trPr>
          <w:trHeight w:val="120"/>
        </w:trPr>
        <w:tc>
          <w:tcPr>
            <w:tcW w:w="456" w:type="dxa"/>
            <w:vMerge/>
          </w:tcPr>
          <w:p w:rsidR="001D6AE2" w:rsidRPr="007C0467" w:rsidRDefault="001D6AE2" w:rsidP="007C04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7C0467">
              <w:rPr>
                <w:sz w:val="22"/>
                <w:szCs w:val="22"/>
              </w:rPr>
              <w:t xml:space="preserve"> (десять)</w:t>
            </w:r>
            <w:r w:rsidRPr="007C0467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7C0467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7C0467">
              <w:rPr>
                <w:sz w:val="22"/>
                <w:szCs w:val="22"/>
              </w:rPr>
              <w:t xml:space="preserve">(пяти) </w:t>
            </w:r>
            <w:r w:rsidRPr="007C0467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7C0467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7C0467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3" w:anchor="/document/12184522/entry/21" w:history="1">
              <w:r w:rsidRPr="007C0467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7C0467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7C0467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7C0467" w:rsidRDefault="001D6AE2" w:rsidP="007C046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7C0467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7C0467" w:rsidRDefault="00116294" w:rsidP="007C046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7C0467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7C046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7C0467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7C046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7C0467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7C0467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7C0467">
              <w:rPr>
                <w:color w:val="000000"/>
                <w:sz w:val="22"/>
                <w:szCs w:val="22"/>
              </w:rPr>
              <w:t xml:space="preserve">, </w:t>
            </w:r>
            <w:r w:rsidRPr="007C0467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7C0467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7C046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7C0467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7C0467" w:rsidRDefault="00116294" w:rsidP="007C0467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7C0467" w:rsidRDefault="00116294" w:rsidP="007C0467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7C0467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7C0467" w:rsidRDefault="00D057D1" w:rsidP="007C046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7C0467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68DF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1EC" w:rsidRDefault="00A861EC" w:rsidP="001425FA">
      <w:pPr>
        <w:spacing w:after="0" w:line="240" w:lineRule="auto"/>
      </w:pPr>
      <w:r>
        <w:separator/>
      </w:r>
    </w:p>
  </w:endnote>
  <w:endnote w:type="continuationSeparator" w:id="1">
    <w:p w:rsidR="00A861EC" w:rsidRDefault="00A861EC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1EC" w:rsidRDefault="00A861EC" w:rsidP="001425FA">
      <w:pPr>
        <w:spacing w:after="0" w:line="240" w:lineRule="auto"/>
      </w:pPr>
      <w:r>
        <w:separator/>
      </w:r>
    </w:p>
  </w:footnote>
  <w:footnote w:type="continuationSeparator" w:id="1">
    <w:p w:rsidR="00A861EC" w:rsidRDefault="00A861EC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Les">
    <w15:presenceInfo w15:providerId="None" w15:userId="Natalia Le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08C4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95618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7B23"/>
    <w:rsid w:val="004F2040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D4E"/>
    <w:rsid w:val="006C18DA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B20F3"/>
    <w:rsid w:val="007B31EB"/>
    <w:rsid w:val="007B611E"/>
    <w:rsid w:val="007C0467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03D5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426"/>
    <w:rsid w:val="00A64C93"/>
    <w:rsid w:val="00A67500"/>
    <w:rsid w:val="00A72412"/>
    <w:rsid w:val="00A7793E"/>
    <w:rsid w:val="00A82AC8"/>
    <w:rsid w:val="00A8433F"/>
    <w:rsid w:val="00A85423"/>
    <w:rsid w:val="00A861EC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16E2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D5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s://www.consultant.ru/document/cons_doc_LAW_483141/3e878d61b0de409120ad70762779b6616b55d7d9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7705ea248eb2ec0cf267513902ed8f43cc104c97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s://www.consultant.ru/document/cons_doc_LAW_483141/3e878d61b0de409120ad70762779b6616b55d7d9/" TargetMode="External"/><Relationship Id="rId29" Type="http://schemas.openxmlformats.org/officeDocument/2006/relationships/hyperlink" Target="https://www.consultant.ru/document/cons_doc_LAW_452764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www.rts-tender.ru/platform-rules/platform-property-sales" TargetMode="External"/><Relationship Id="rId32" Type="http://schemas.openxmlformats.org/officeDocument/2006/relationships/hyperlink" Target="http://www.consultant.ru/document/cons_doc_LAW_394109/8a479c028d080f9c4013f9a12ca4bc04a1bc7527/" TargetMode="External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://www.consultant.ru/document/cons_doc_LAW_389676/7705ea248eb2ec0cf267513902ed8f43cc104c97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microsoft.com/office/2011/relationships/commentsExtended" Target="commentsExtended.xml"/><Relationship Id="rId10" Type="http://schemas.openxmlformats.org/officeDocument/2006/relationships/hyperlink" Target="mailto:info@tp-tender.ru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info@tp-tender.ru" TargetMode="External"/><Relationship Id="rId22" Type="http://schemas.openxmlformats.org/officeDocument/2006/relationships/hyperlink" Target="https://www.consultant.ru/document/cons_doc_LAW_464169/f37831cb86dea1959749e24d246234941eca66cd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://www.consultant.ru/document/cons_doc_LAW_389676/08b3ecbcdc9a360ad1dc314150a6328886703356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24DE-076B-4FF1-B08B-C4D4DAD0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14</Pages>
  <Words>8374</Words>
  <Characters>47738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110</cp:revision>
  <cp:lastPrinted>2025-03-07T02:58:00Z</cp:lastPrinted>
  <dcterms:created xsi:type="dcterms:W3CDTF">2024-03-27T11:16:00Z</dcterms:created>
  <dcterms:modified xsi:type="dcterms:W3CDTF">2025-03-07T02:59:00Z</dcterms:modified>
</cp:coreProperties>
</file>